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Statement on Inclusion and Support for Trans Women at Her-Place Charitable Trust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Her-Place is a charity dedicated to the health, mental health, and wellbeing of women and girls who have experienced disadvantage, discrimination, and harm. Our work is grounded in a feminist ethos that recognises the many forms of oppression and violence that women and girls face. This includes recognising that violence against women and girls (VAWG) affects individuals differently based on their intersecting identities, including gender identity.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affirm our support for all women, including trans women. While we are rarely accessed by trans women, they are welcome to use our services. We know from research and frontline experience that trans women are disproportionately affected by violence, marginalisation, and discrimination. They are among the most at-risk groups in society when it comes to abuse and harm, and their experiences of gender-based violence are real and valid.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Her-Place aligns with the Equality Act 2010, which protects people from discrimination on the basis of sex and gender reassignment, among other protected characteristics. Our commitment is to create safe, inclusive, and supportive spaces for all women - including cisgender and transgender women who need our services.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also understand that trans-inclusive practice can be the subject of misunderstanding and hostility. We do not believe that inclusion comes at the expense of anyone’s safety or dignity. Rather, we believe that solidarity among women and girls - in all their diversity - is fundamental to tackling the root causes of violence and inequality.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Our name change reflects an evolution in how we deliver our mission, not a change in our values. We remain a feminist, women-led organisation committed to ending gender-based violence and improving the lives of those we support.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welcome questions and dialogue, but we will not engage with language or conduct that seeks to exclude or invalidate members of our community.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you need support, you are welcome at Her-Place.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